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Scientific Drawing</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Scientific drawings are an important part of the science of biology and all biologists must be able to produce good quality scientific drawings regardless of their artistic ability. Scientific drawings are used as a way to demonstrate your observations of a specimen in a simple way. Your goal is to create two scientific drawings of the same specimen at different magnifications. The drawings can be done on the back of this page.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While drawing remember the rules for scientific drawings;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Look at the specimen carefully and examine the significant features that will be included in the drawing</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Draw only what you see. Do not include what you think you should see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All drawings must be done in pencil</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Drawings must be large and clear so that features can be easily distinguished</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No more than two drawings should be on a single page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Always use distinct, single lines when drawing</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To illustrate darker areas on a specimen, use stippling or dots. Do not shade in any area of your drawing</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Include a title, magnification, and labels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Be sure to underline scientific names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